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png" ContentType="image/png"/>
  <Override PartName="/word/media/rId52.png" ContentType="image/png"/>
  <Override PartName="/word/media/rId29.png" ContentType="image/png"/>
  <Override PartName="/word/media/rId69.png" ContentType="image/png"/>
  <Override PartName="/word/media/rId47.png" ContentType="image/png"/>
  <Override PartName="/word/media/rId58.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 and temporal distribution of the invasive</w:t>
      </w:r>
      <w:r>
        <w:t xml:space="preserve"> </w:t>
      </w:r>
      <w:r>
        <w:rPr>
          <w:i/>
          <w:iCs/>
        </w:rPr>
        <w:t xml:space="preserve">Gracilaria vermiculophylla</w:t>
      </w:r>
      <w:r>
        <w:t xml:space="preserve"> </w:t>
      </w:r>
      <w:r>
        <w:t xml:space="preserve">through remote sensing at its first described European site</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2024-12-17</w:t>
      </w:r>
    </w:p>
    <w:p>
      <w:pPr>
        <w:pStyle w:val="AbstractTitle"/>
      </w:pPr>
      <w:r>
        <w:t xml:space="preserve">Abstract</w:t>
      </w:r>
    </w:p>
    <w:p>
      <w:pPr>
        <w:pStyle w:val="Abstract"/>
      </w:pPr>
      <w:r>
        <w:t xml:space="preserve">To be Written</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is capable of establishing populations in soft-bottom sediment habitats that were previously devoid of macroalgae</w:t>
      </w:r>
      <w:r>
        <w:t xml:space="preserve"> </w:t>
      </w:r>
      <w:r>
        <w:t xml:space="preserve">(Ramus et al., 2017)</w:t>
      </w:r>
      <w:r>
        <w:t xml:space="preserve">. These mats are usually monospecific with the alga thalli partially buried into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had not been quantitatively assessed.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to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In this study, a drone-based multispectral remote sensing approach was applied to map</w:t>
      </w:r>
      <w:r>
        <w:t xml:space="preserve"> </w:t>
      </w:r>
      <w:r>
        <w:rPr>
          <w:i/>
          <w:iCs/>
        </w:rPr>
        <w:t xml:space="preserve">G. vermiculophylla</w:t>
      </w:r>
      <w:r>
        <w:t xml:space="preserve"> </w:t>
      </w:r>
      <w:r>
        <w:t xml:space="preserve">spatial distribution at a very-high spatial resolution in three intertidal estuaries of European Atlantic coast. We adapted the neural network classification model DISCOV (Drone Intertidal Substrate Classification Of Vegetation,</w:t>
      </w:r>
      <w:r>
        <w:t xml:space="preserve"> </w:t>
      </w:r>
      <w:r>
        <w:t xml:space="preserve">Oiry et al. (2024b)</w:t>
      </w:r>
      <w:r>
        <w:t xml:space="preserve">,</w:t>
      </w:r>
      <w:r>
        <w:t xml:space="preserve"> </w:t>
      </w:r>
      <w:r>
        <w:t xml:space="preserve">Oiry et al. (2024a)</w:t>
      </w:r>
      <w:r>
        <w:t xml:space="preserve">) by specifically training the model with a new class corresponding to</w:t>
      </w:r>
      <w:r>
        <w:t xml:space="preserve"> </w:t>
      </w:r>
      <w:r>
        <w:rPr>
          <w:i/>
          <w:iCs/>
        </w:rPr>
        <w:t xml:space="preserve">G. vermiculophylla</w:t>
      </w:r>
      <w:r>
        <w:t xml:space="preserve">. A validation dataset was obtained from</w:t>
      </w:r>
      <w:r>
        <w:t xml:space="preserve"> </w:t>
      </w:r>
      <w:r>
        <w:rPr>
          <w:i/>
          <w:iCs/>
        </w:rPr>
        <w:t xml:space="preserve">in situ</w:t>
      </w:r>
      <w:r>
        <w:t xml:space="preserve"> </w:t>
      </w:r>
      <w:r>
        <w:t xml:space="preserve">data to estimate the classification accuracy. LIDAR data were concurrently acquired to accurately map the intertidal elevation. We used a Generalized Additive Model (GAM) to examine the relationship between the seaweed spatial distribution and spatial metrics quantifying the mudflat topography. We expected the presence of G. vermiculophylla in mudflats to be associated to a specific height range as well as being more closely related to flat areas of the intertidal zone.</w:t>
      </w:r>
    </w:p>
    <w:bookmarkEnd w:id="22"/>
    <w:bookmarkStart w:id="46"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40"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w:t>
      </w:r>
      <w:r>
        <w:t xml:space="preserve"> </w:t>
      </w:r>
      <w:hyperlink w:anchor="fig-PictureFigure">
        <w:r>
          <w:rPr>
            <w:rStyle w:val="Hyperlink"/>
          </w:rPr>
          <w:t xml:space="preserve">Figure 2</w:t>
        </w:r>
      </w:hyperlink>
      <w:r>
        <w:t xml:space="preserve">.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 $ f(</w:t>
      </w:r>
      <w:r>
        <w:t xml:space="preserve">_i) $ 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9" w:name="drone-data"/>
    <w:p>
      <w:pPr>
        <w:pStyle w:val="Heading3"/>
      </w:pPr>
      <w:r>
        <w:t xml:space="preserve">3.2.2 Drone data</w:t>
      </w:r>
    </w:p>
    <w:tbl>
      <w:tblPr>
        <w:tblStyle w:val="Table"/>
        <w:tblW w:type="pct" w:w="5000"/>
        <w:tblLayout w:type="fixed"/>
        <w:tblLook w:firstRow="0" w:lastRow="0" w:firstColumn="0" w:lastColumn="0" w:noHBand="0" w:noVBand="0" w:val="0000"/>
      </w:tblPr>
      <w:tblGrid>
        <w:gridCol w:w="7920"/>
      </w:tblGrid>
      <w:tr>
        <w:tc>
          <w:tcPr/>
          <w:bookmarkStart w:id="36" w:name="tbl-flights"/>
          <w:p>
            <w:pPr>
              <w:jc w:val="center"/>
            </w:pPr>
            <w:pPr>
              <w:jc w:val="start"/>
              <w:spacing w:before="200"/>
              <w:pStyle w:val="ImageCaption"/>
            </w:pPr>
            <w:r>
              <w:t xml:space="preserve">Table 1: List of drone flights, summarising the location, the date, and the total extent of each flight (in hectars).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Flight</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w:t>
                  </w:r>
                </w:p>
              </w:tc>
            </w:tr>
            <w:tr>
              <w:trPr>
                <w:trHeight w:val="360" w:hRule="auto"/>
              </w:trPr>
              body1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Aven &amp; Belon</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w:t>
                  </w:r>
                </w:p>
              </w:tc>
            </w:tr>
            <w:tr>
              <w:trPr>
                <w:trHeight w:val="360" w:hRule="auto"/>
              </w:trPr>
              body2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du Guilly</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r>
            <w:tr>
              <w:trPr>
                <w:trHeight w:val="360" w:hRule="auto"/>
              </w:trPr>
              body3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Saja Estuary</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r>
            <w:tr>
              <w:trPr>
                <w:trHeight w:val="360" w:hRule="auto"/>
              </w:trPr>
              body4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bl>
          <w:bookmarkEnd w:id="36"/>
        </w:tc>
      </w:tr>
    </w:tbl>
    <w:p>
      <w:pPr>
        <w:pStyle w:val="BodyText"/>
      </w:pPr>
      <w:r>
        <w:t xml:space="preserve">A total of 6 drone flights were done spread in the 3 study sites. Each time, flights were done at an altitude of 120 m and at a speed of 10 m.s</w:t>
      </w:r>
      <w:r>
        <w:rPr>
          <w:vertAlign w:val="superscript"/>
        </w:rPr>
        <w:t xml:space="preserve">-1</w:t>
      </w:r>
      <w:r>
        <w:t xml:space="preserve"> </w:t>
      </w:r>
      <w:r>
        <w:t xml:space="preserve">(</w:t>
      </w:r>
      <w:hyperlink w:anchor="tbl-flights">
        <w:r>
          <w:rPr>
            <w:rStyle w:val="Hyperlink"/>
          </w:rPr>
          <w:t xml:space="preserve">Table 1</w:t>
        </w:r>
      </w:hyperlink>
      <w:r>
        <w:t xml:space="preserve">).</w:t>
      </w:r>
    </w:p>
    <w:bookmarkStart w:id="37" w:name="sec-photo"/>
    <w:p>
      <w:pPr>
        <w:pStyle w:val="Heading4"/>
      </w:pPr>
      <w:r>
        <w:t xml:space="preserve">3.2.2.1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7"/>
    <w:bookmarkStart w:id="38" w:name="lidar-data"/>
    <w:p>
      <w:pPr>
        <w:pStyle w:val="Heading4"/>
      </w:pPr>
      <w:r>
        <w:t xml:space="preserve">3.2.2.2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8"/>
    <w:bookmarkEnd w:id="39"/>
    <w:bookmarkEnd w:id="40"/>
    <w:bookmarkStart w:id="43" w:name="scene-classification"/>
    <w:p>
      <w:pPr>
        <w:pStyle w:val="Heading2"/>
      </w:pPr>
      <w:r>
        <w:t xml:space="preserve">3.3 Scene classification</w:t>
      </w:r>
    </w:p>
    <w:p>
      <w:pPr>
        <w:pStyle w:val="FirstParagraph"/>
      </w:pPr>
      <w:r>
        <w:t xml:space="preserve">A neural network classification model (DISCOV;</w:t>
      </w:r>
      <w:r>
        <w:t xml:space="preserve"> </w:t>
      </w:r>
      <w:r>
        <w:t xml:space="preserve">Oiry et al. (2024b)</w:t>
      </w:r>
      <w:r>
        <w:t xml:space="preserve">;</w:t>
      </w:r>
      <w:r>
        <w:t xml:space="preserve"> </w:t>
      </w:r>
      <w:r>
        <w:t xml:space="preserve">Oiry et al. (2024a)</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(2024b)</w:t>
      </w:r>
      <w:r>
        <w:t xml:space="preserve"> </w:t>
      </w:r>
      <w:r>
        <w:t xml:space="preserve">the DISCOV v1.0 model</w:t>
      </w:r>
      <w:r>
        <w:t xml:space="preserve"> </w:t>
      </w:r>
      <w:r>
        <w:t xml:space="preserve">(Oiry et al., 2024a)</w:t>
      </w:r>
      <w:r>
        <w:t xml:space="preserve"> </w:t>
      </w:r>
      <w:r>
        <w:t xml:space="preserve">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tbl-Update_training">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Update_training"/>
          <w:p>
            <w:pPr>
              <w:jc w:val="center"/>
            </w:pPr>
            <w:pPr>
              <w:jc w:val="start"/>
              <w:spacing w:before="200"/>
              <w:pStyle w:val="ImageCaption"/>
            </w:pPr>
            <w:r>
              <w:t xml:space="preserve">Table 2: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41"/>
        </w:tc>
      </w:tr>
    </w:tbl>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w:t>
      </w:r>
      <w:r>
        <w:t xml:space="preserve"> </w:t>
      </w:r>
      <w:hyperlink w:anchor="tbl-ValidationDataset">
        <w:r>
          <w:rPr>
            <w:rStyle w:val="Hyperlink"/>
          </w:rPr>
          <w:t xml:space="preserve">Table 3</w:t>
        </w:r>
      </w:hyperlink>
      <w:r>
        <w:t xml:space="preserve">. The validation dataset was then simplify into two classes: Presence of Absence of Red Algae.</w:t>
      </w:r>
    </w:p>
    <w:tbl>
      <w:tblPr>
        <w:tblStyle w:val="Table"/>
        <w:tblW w:type="pct" w:w="5000"/>
        <w:tblLayout w:type="fixed"/>
        <w:tblLook w:firstRow="0" w:lastRow="0" w:firstColumn="0" w:lastColumn="0" w:noHBand="0" w:noVBand="0" w:val="0000"/>
      </w:tblPr>
      <w:tblGrid>
        <w:gridCol w:w="7920"/>
      </w:tblGrid>
      <w:tr>
        <w:tc>
          <w:tcPr/>
          <w:bookmarkStart w:id="42" w:name="tbl-ValidationDataset"/>
          <w:p>
            <w:pPr>
              <w:jc w:val="center"/>
            </w:pPr>
            <w:pPr>
              <w:jc w:val="start"/>
              <w:spacing w:before="200"/>
              <w:pStyle w:val="ImageCaption"/>
            </w:pPr>
            <w:r>
              <w:t xml:space="preserve">Table 3: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42"/>
        </w:tc>
      </w:tr>
    </w:tbl>
    <w:bookmarkEnd w:id="43"/>
    <w:bookmarkStart w:id="45" w:name="X852478e0394e3510ff64c90d9aef5c8c81c6d46"/>
    <w:p>
      <w:pPr>
        <w:pStyle w:val="Heading2"/>
      </w:pPr>
      <w:r>
        <w:t xml:space="preserve">3.4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tbl-IGNimg">
        <w:r>
          <w:rPr>
            <w:rStyle w:val="Hyperlink"/>
          </w:rPr>
          <w:t xml:space="preserve">Table 4</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tbl>
      <w:tblPr>
        <w:tblStyle w:val="Table"/>
        <w:tblW w:type="pct" w:w="5000"/>
        <w:tblLayout w:type="fixed"/>
        <w:tblLook w:firstRow="0" w:lastRow="0" w:firstColumn="0" w:lastColumn="0" w:noHBand="0" w:noVBand="0" w:val="0000"/>
      </w:tblPr>
      <w:tblGrid>
        <w:gridCol w:w="7920"/>
      </w:tblGrid>
      <w:tr>
        <w:tc>
          <w:tcPr/>
          <w:bookmarkStart w:id="44" w:name="tbl-IGNimg"/>
          <w:p>
            <w:pPr>
              <w:jc w:val="center"/>
            </w:pPr>
            <w:pPr>
              <w:jc w:val="start"/>
              <w:spacing w:before="200"/>
              <w:pStyle w:val="ImageCaption"/>
            </w:pPr>
            <w:r>
              <w:t xml:space="preserve">Table 4: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44"/>
        </w:tc>
      </w:tr>
    </w:tbl>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5"/>
    <w:bookmarkEnd w:id="46"/>
    <w:bookmarkStart w:id="75" w:name="results"/>
    <w:p>
      <w:pPr>
        <w:pStyle w:val="Heading1"/>
      </w:pPr>
      <w:r>
        <w:t xml:space="preserve">4. Results</w:t>
      </w:r>
    </w:p>
    <w:bookmarkStart w:id="57"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3</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1" w:name="cell-fig-HistoricalMap"/>
    <w:tbl>
      <w:tblPr>
        <w:tblStyle w:val="Table"/>
        <w:tblW w:type="pct" w:w="5000"/>
        <w:tblLayout w:type="fixed"/>
        <w:tblLook w:firstRow="0" w:lastRow="0" w:firstColumn="0" w:lastColumn="0" w:noHBand="0" w:noVBand="0" w:val="0000"/>
      </w:tblPr>
      <w:tblGrid>
        <w:gridCol w:w="7920"/>
      </w:tblGrid>
      <w:tr>
        <w:tc>
          <w:tcPr/>
          <w:bookmarkStart w:id="50" w:name="fig-HistoricalMap"/>
          <w:p>
            <w:pPr>
              <w:pStyle w:val="Compact"/>
              <w:jc w:val="center"/>
            </w:pPr>
            <w:r>
              <w:drawing>
                <wp:inline>
                  <wp:extent cx="5646420" cy="2549358"/>
                  <wp:effectExtent b="0" l="0" r="0" t="0"/>
                  <wp:docPr descr="" title="" id="48" name="Picture"/>
                  <a:graphic>
                    <a:graphicData uri="http://schemas.openxmlformats.org/drawingml/2006/picture">
                      <pic:pic>
                        <pic:nvPicPr>
                          <pic:cNvPr descr="./Figures/Low_res/Historical_maps.png" id="49" name="Picture"/>
                          <pic:cNvPicPr>
                            <a:picLocks noChangeArrowheads="1" noChangeAspect="1"/>
                          </pic:cNvPicPr>
                        </pic:nvPicPr>
                        <pic:blipFill>
                          <a:blip r:embed="rId47"/>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Historical images of Pont du Guilly between 1952 and 2024.</w:t>
            </w:r>
          </w:p>
          <w:bookmarkEnd w:id="50"/>
        </w:tc>
      </w:tr>
    </w:tbl>
    <w:bookmarkEnd w:id="51"/>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4</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6" w:name="cell-fig-HistoricalPlot"/>
    <w:tbl>
      <w:tblPr>
        <w:tblStyle w:val="Table"/>
        <w:tblW w:type="pct" w:w="5000"/>
        <w:tblLayout w:type="fixed"/>
        <w:tblLook w:firstRow="0" w:lastRow="0" w:firstColumn="0" w:lastColumn="0" w:noHBand="0" w:noVBand="0" w:val="0000"/>
      </w:tblPr>
      <w:tblGrid>
        <w:gridCol w:w="7920"/>
      </w:tblGrid>
      <w:tr>
        <w:tc>
          <w:tcPr/>
          <w:bookmarkStart w:id="55" w:name="fig-HistoricalPlot"/>
          <w:p>
            <w:pPr>
              <w:pStyle w:val="Compact"/>
              <w:jc w:val="center"/>
            </w:pPr>
            <w:r>
              <w:drawing>
                <wp:inline>
                  <wp:extent cx="5646420" cy="3387852"/>
                  <wp:effectExtent b="0" l="0" r="0" t="0"/>
                  <wp:docPr descr="" title="" id="53" name="Picture"/>
                  <a:graphic>
                    <a:graphicData uri="http://schemas.openxmlformats.org/drawingml/2006/picture">
                      <pic:pic>
                        <pic:nvPicPr>
                          <pic:cNvPr descr="./Figures/Low_res/Cover_Gracillaria_vs_Time.png" id="54" name="Picture"/>
                          <pic:cNvPicPr>
                            <a:picLocks noChangeArrowheads="1" noChangeAspect="1"/>
                          </pic:cNvPicPr>
                        </pic:nvPicPr>
                        <pic:blipFill>
                          <a:blip r:embed="rId52"/>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5"/>
        </w:tc>
      </w:tr>
    </w:tbl>
    <w:bookmarkEnd w:id="56"/>
    <w:bookmarkEnd w:id="57"/>
    <w:bookmarkStart w:id="63"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5</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5</w:t>
        </w:r>
      </w:hyperlink>
      <w:r>
        <w:t xml:space="preserve"> </w:t>
      </w:r>
      <w:r>
        <w:t xml:space="preserve">B).</w:t>
      </w:r>
    </w:p>
    <w:bookmarkStart w:id="62" w:name="cell-fig-SpecDescri"/>
    <w:tbl>
      <w:tblPr>
        <w:tblStyle w:val="Table"/>
        <w:tblW w:type="pct" w:w="5000"/>
        <w:tblLayout w:type="fixed"/>
        <w:tblLook w:firstRow="0" w:lastRow="0" w:firstColumn="0" w:lastColumn="0" w:noHBand="0" w:noVBand="0" w:val="0000"/>
      </w:tblPr>
      <w:tblGrid>
        <w:gridCol w:w="7920"/>
      </w:tblGrid>
      <w:tr>
        <w:tc>
          <w:tcPr/>
          <w:bookmarkStart w:id="61" w:name="fig-SpecDescri"/>
          <w:p>
            <w:pPr>
              <w:pStyle w:val="Compact"/>
              <w:jc w:val="center"/>
            </w:pPr>
            <w:r>
              <w:drawing>
                <wp:inline>
                  <wp:extent cx="5646420" cy="2823210"/>
                  <wp:effectExtent b="0" l="0" r="0" t="0"/>
                  <wp:docPr descr="" title="" id="59" name="Picture"/>
                  <a:graphic>
                    <a:graphicData uri="http://schemas.openxmlformats.org/drawingml/2006/picture">
                      <pic:pic>
                        <pic:nvPicPr>
                          <pic:cNvPr descr="./Figures/Low_res/plot_spectral_signature.png" id="60" name="Picture"/>
                          <pic:cNvPicPr>
                            <a:picLocks noChangeArrowheads="1" noChangeAspect="1"/>
                          </pic:cNvPicPr>
                        </pic:nvPicPr>
                        <pic:blipFill>
                          <a:blip r:embed="rId5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1"/>
        </w:tc>
      </w:tr>
    </w:tbl>
    <w:bookmarkEnd w:id="62"/>
    <w:bookmarkEnd w:id="63"/>
    <w:bookmarkStart w:id="74"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6</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6</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68" w:name="cell-fig-Belon"/>
    <w:tbl>
      <w:tblPr>
        <w:tblStyle w:val="Table"/>
        <w:tblW w:type="pct" w:w="5000"/>
        <w:tblLayout w:type="fixed"/>
        <w:tblLook w:firstRow="0" w:lastRow="0" w:firstColumn="0" w:lastColumn="0" w:noHBand="0" w:noVBand="0" w:val="0000"/>
      </w:tblPr>
      <w:tblGrid>
        <w:gridCol w:w="7920"/>
      </w:tblGrid>
      <w:tr>
        <w:tc>
          <w:tcPr/>
          <w:bookmarkStart w:id="67" w:name="fig-Belon"/>
          <w:p>
            <w:pPr>
              <w:pStyle w:val="Compact"/>
              <w:jc w:val="center"/>
            </w:pPr>
            <w:r>
              <w:drawing>
                <wp:inline>
                  <wp:extent cx="5646420" cy="7156425"/>
                  <wp:effectExtent b="0" l="0" r="0" t="0"/>
                  <wp:docPr descr="" title="" id="65" name="Picture"/>
                  <a:graphic>
                    <a:graphicData uri="http://schemas.openxmlformats.org/drawingml/2006/picture">
                      <pic:pic>
                        <pic:nvPicPr>
                          <pic:cNvPr descr="./Figures/Low_res/Belon_maps.png" id="66" name="Picture"/>
                          <pic:cNvPicPr>
                            <a:picLocks noChangeArrowheads="1" noChangeAspect="1"/>
                          </pic:cNvPicPr>
                        </pic:nvPicPr>
                        <pic:blipFill>
                          <a:blip r:embed="rId64"/>
                          <a:stretch>
                            <a:fillRect/>
                          </a:stretch>
                        </pic:blipFill>
                        <pic:spPr bwMode="auto">
                          <a:xfrm>
                            <a:off x="0" y="0"/>
                            <a:ext cx="5646420" cy="715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7"/>
        </w:tc>
      </w:tr>
    </w:tbl>
    <w:bookmarkEnd w:id="68"/>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7</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7</w:t>
        </w:r>
      </w:hyperlink>
      <w:r>
        <w:t xml:space="preserve">). This demonstrates that slope modifies the relationship, with flatter slopes supporting a greater percent cover of the algae.</w:t>
      </w:r>
    </w:p>
    <w:bookmarkStart w:id="73" w:name="cell-fig-Gam_Slope"/>
    <w:tbl>
      <w:tblPr>
        <w:tblStyle w:val="Table"/>
        <w:tblW w:type="pct" w:w="5000"/>
        <w:tblLayout w:type="fixed"/>
        <w:tblLook w:firstRow="0" w:lastRow="0" w:firstColumn="0" w:lastColumn="0" w:noHBand="0" w:noVBand="0" w:val="0000"/>
      </w:tblPr>
      <w:tblGrid>
        <w:gridCol w:w="7920"/>
      </w:tblGrid>
      <w:tr>
        <w:tc>
          <w:tcPr/>
          <w:bookmarkStart w:id="72" w:name="fig-Gam_Slope"/>
          <w:p>
            <w:pPr>
              <w:pStyle w:val="Compact"/>
              <w:jc w:val="center"/>
            </w:pPr>
            <w:r>
              <w:drawing>
                <wp:inline>
                  <wp:extent cx="5646420" cy="2823210"/>
                  <wp:effectExtent b="0" l="0" r="0" t="0"/>
                  <wp:docPr descr="" title="" id="70" name="Picture"/>
                  <a:graphic>
                    <a:graphicData uri="http://schemas.openxmlformats.org/drawingml/2006/picture">
                      <pic:pic>
                        <pic:nvPicPr>
                          <pic:cNvPr descr="./Figures/Low_res/GAM_slope_cover.png" id="71" name="Picture"/>
                          <pic:cNvPicPr>
                            <a:picLocks noChangeArrowheads="1" noChangeAspect="1"/>
                          </pic:cNvPicPr>
                        </pic:nvPicPr>
                        <pic:blipFill>
                          <a:blip r:embed="rId6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and Bathymetry (C) of the Bélon estuary site in Brttany, France. The total extent of this flight was 21 hectars with a resolution of 8 mm per pixel. Bathymetry is represented as the height above mean sea level.</w:t>
            </w:r>
          </w:p>
          <w:bookmarkEnd w:id="72"/>
        </w:tc>
      </w:tr>
    </w:tbl>
    <w:bookmarkEnd w:id="73"/>
    <w:bookmarkEnd w:id="74"/>
    <w:bookmarkEnd w:id="75"/>
    <w:bookmarkStart w:id="79" w:name="discussion"/>
    <w:p>
      <w:pPr>
        <w:pStyle w:val="Heading1"/>
      </w:pPr>
      <w:r>
        <w:t xml:space="preserve">5. Discussion</w:t>
      </w:r>
    </w:p>
    <w:bookmarkStart w:id="76"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2024b)</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2024b;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6"/>
    <w:bookmarkStart w:id="77"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bookmarkEnd w:id="77"/>
    <w:bookmarkStart w:id="78" w:name="Xe705ade76b51efc21a7a04fee84910d9085727e"/>
    <w:p>
      <w:pPr>
        <w:pStyle w:val="Heading2"/>
      </w:pPr>
      <w:r>
        <w:t xml:space="preserve">5.3 Spatio-temporal monitoring of invasive macroalgae</w:t>
      </w:r>
    </w:p>
    <w:p>
      <w:pPr>
        <w:pStyle w:val="FirstParagraph"/>
      </w:pPr>
      <w:r>
        <w:t xml:space="preserve">Accurate, high-resolution maps of invasive or alien species are extremely scarce</w:t>
      </w:r>
      <w:r>
        <w:t xml:space="preserve"> </w:t>
      </w:r>
      <w:r>
        <w:t xml:space="preserve">(Fourcade et al., 2014; Vilizzi et al., 2021)</w:t>
      </w:r>
      <w:r>
        <w:t xml:space="preserve">, yet they enable in-depth evaluations of these species’ ecology, temporal dynamics, and niche behavior in relation to their environment. In this study, using individual flights over monospecific algal mats, we quantified how this invasive alga associates with local mudflat topography, demonstrating that its distribution is closely tied to specific topographical features, such as elevation and slope gradients. This relationship reveals how physical features of the mudflat can influence the extent and density of</w:t>
      </w:r>
      <w:r>
        <w:t xml:space="preserve"> </w:t>
      </w:r>
      <w:r>
        <w:rPr>
          <w:i/>
          <w:iCs/>
        </w:rPr>
        <w:t xml:space="preserve">Gracilaria vermiculophylla</w:t>
      </w:r>
      <w:r>
        <w:t xml:space="preserve"> </w:t>
      </w:r>
      <w:r>
        <w:t xml:space="preserve">mats. Understanding the drivers of the spatial distribution of the algae helps to anticipate the future development of this species and identify areas vulnerable to its invasion. Repeated monitoring of this type can further reveal phenological patterns, invasion dynamics, and local conspecific biological interactions—such as co-occurrence, displacement, or avoidance</w:t>
      </w:r>
      <w:r>
        <w:t xml:space="preserve"> </w:t>
      </w:r>
      <w:r>
        <w:t xml:space="preserve">(Arim et al., 2006; Godoy et al., 2009)</w:t>
      </w:r>
      <w:r>
        <w:t xml:space="preserve">.</w:t>
      </w:r>
    </w:p>
    <w:p>
      <w:pPr>
        <w:pStyle w:val="BodyText"/>
      </w:pPr>
      <w:r>
        <w:t xml:space="preserve">Remote sensing using multispectral drone mapping can provide high-resolution, spatially explicit data, but it must be combined with repeated, in situ field measurements to maximize its potential</w:t>
      </w:r>
      <w:r>
        <w:t xml:space="preserve"> </w:t>
      </w:r>
      <w:r>
        <w:t xml:space="preserve">(Chadwick et al., 2020; Zoffoli et al., 2023)</w:t>
      </w:r>
      <w:r>
        <w:t xml:space="preserve">. As noted, temporal repetition makes it possible to assess dynamic processes, and integrating these mapping approaches with in situ analyses of local infauna, carbon cycling, riverine inputs, and sedimentology would yield valuable insights for local managers. Such an integrated approach could help determine how the invasive algae affects the local ecosystem and, more broadly, forecast its potential impact on other estuarine environments facing similar invasion events. This holistic approach can guide strategic interventions aimed at mitigating the alga’s spread, maintaining ecological balance, and protecting native biodiversity, ensuring that management efforts are informed by accurate, timely, and spatially explicit data.</w:t>
      </w:r>
    </w:p>
    <w:p>
      <w:pPr>
        <w:pStyle w:val="BodyText"/>
      </w:pPr>
      <w:r>
        <w:t xml:space="preserve">Invasive species like</w:t>
      </w:r>
      <w:r>
        <w:t xml:space="preserve"> </w:t>
      </w:r>
      <w:r>
        <w:rPr>
          <w:i/>
          <w:iCs/>
        </w:rPr>
        <w:t xml:space="preserve">Gracilaria vermiculophylla</w:t>
      </w:r>
      <w:r>
        <w:t xml:space="preserve"> </w:t>
      </w:r>
      <w:r>
        <w:t xml:space="preserve">and</w:t>
      </w:r>
      <w:r>
        <w:t xml:space="preserve"> </w:t>
      </w:r>
      <w:r>
        <w:rPr>
          <w:i/>
          <w:iCs/>
        </w:rPr>
        <w:t xml:space="preserve">Rugulopteryx okamurae</w:t>
      </w:r>
      <w:r>
        <w:t xml:space="preserve"> </w:t>
      </w:r>
      <w:r>
        <w:t xml:space="preserve">can be identified using drones equipped with multispectral sensors, taking advantage of the characteristic reflectance of rhodophytes</w:t>
      </w:r>
      <w:r>
        <w:t xml:space="preserve"> </w:t>
      </w:r>
      <w:r>
        <w:t xml:space="preserve">(Barillé et al., 2025; Nurdin et al., 2023)</w:t>
      </w:r>
      <w:r>
        <w:t xml:space="preserve">. However, while RGB sensors on readily available commercial drones can be used to perform accurate scene classification, their effectiveness for mapping invasive species has not yet been demonstrated</w:t>
      </w:r>
      <w:r>
        <w:t xml:space="preserve"> </w:t>
      </w:r>
      <w:r>
        <w:t xml:space="preserve">(Cheng et al., 2017; Kazakeviciute-Januskeviciene et al., 2020)</w:t>
      </w:r>
      <w:r>
        <w:t xml:space="preserve">. These drones are easy to deploy, can cover large areas when flying at speeds of 15 m s</w:t>
      </w:r>
      <w:r>
        <w:rPr>
          <w:vertAlign w:val="superscript"/>
        </w:rPr>
        <w:t xml:space="preserve">-1</w:t>
      </w:r>
      <w:r>
        <w:t xml:space="preserve"> </w:t>
      </w:r>
      <w:r>
        <w:t xml:space="preserve">at an altitude of 120 m, and still maintain sufficient overlap between images to support photogrammetric reconstruction. Expanding these methodologies to RGB-based detection would significantly lower barriers to entry, allowing local stakeholders with limited resources to access valuable monitoring tools for early detection and rapid response. A promising avenue for operational applications lies in testing machine learning techniques for coastal habitat mapping using RGB imagery that do not rely on enhanced spectral resolution. Considering the low cost of RGB and multispectral commercial drones, coupled with ongoing advancements in machine learning, drone-based remote sensing has now matured into a practical tool for adoption by environmental authorities in coastal management. Integrating these technologies into routine monitoring protocols can enhance surveillance capabilities, improve understanding of invasive species dynamics, and ultimately contribute to more effective conservation and restoration strategies.</w:t>
      </w:r>
    </w:p>
    <w:bookmarkEnd w:id="78"/>
    <w:bookmarkEnd w:id="79"/>
    <w:bookmarkStart w:id="80" w:name="conclusion"/>
    <w:p>
      <w:pPr>
        <w:pStyle w:val="Heading1"/>
      </w:pPr>
      <w:r>
        <w:t xml:space="preserve">6. Conclusion</w:t>
      </w:r>
    </w:p>
    <w:bookmarkEnd w:id="80"/>
    <w:bookmarkStart w:id="168" w:name="references"/>
    <w:p>
      <w:pPr>
        <w:pStyle w:val="Heading1"/>
      </w:pPr>
      <w:r>
        <w:t xml:space="preserve">7. References</w:t>
      </w:r>
    </w:p>
    <w:bookmarkStart w:id="167" w:name="refs"/>
    <w:bookmarkStart w:id="81"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81"/>
    <w:bookmarkStart w:id="83" w:name="ref-agisoft"/>
    <w:p>
      <w:pPr>
        <w:pStyle w:val="Bibliography"/>
      </w:pPr>
      <w:r>
        <w:t xml:space="preserve">Agisoft, 2019.</w:t>
      </w:r>
      <w:r>
        <w:t xml:space="preserve"> </w:t>
      </w:r>
      <w:hyperlink r:id="rId82">
        <w:r>
          <w:rPr>
            <w:rStyle w:val="Hyperlink"/>
          </w:rPr>
          <w:t xml:space="preserve">Agisoft metashape</w:t>
        </w:r>
      </w:hyperlink>
      <w:r>
        <w:t xml:space="preserve">.</w:t>
      </w:r>
    </w:p>
    <w:bookmarkEnd w:id="83"/>
    <w:bookmarkStart w:id="84" w:name="ref-arim2006spread"/>
    <w:p>
      <w:pPr>
        <w:pStyle w:val="Bibliography"/>
      </w:pPr>
      <w:r>
        <w:t xml:space="preserve">Arim, M., Abades, S.R., Neill, P.E., Lima, M., Marquet, P.A., 2006. Spread dynamics of invasive species. Proceedings of the National Academy of Sciences 103, 374–378.</w:t>
      </w:r>
    </w:p>
    <w:bookmarkEnd w:id="84"/>
    <w:bookmarkStart w:id="85" w:name="ref-barille2025variability"/>
    <w:p>
      <w:pPr>
        <w:pStyle w:val="Bibliography"/>
      </w:pPr>
      <w:r>
        <w:t xml:space="preserve">Barillé, L., Paterson, I.L., Oiry, S., Aris, A., Cook-Cottier, E.J., Nurdin, N., 2025. Variability of kappaphycus alvarezii cultivation in south-sulawesi (indonesia) related to the monsoon shift: Water quality, growth and colour quantification. Aquaculture Reports 40, 102557.</w:t>
      </w:r>
    </w:p>
    <w:bookmarkEnd w:id="85"/>
    <w:bookmarkStart w:id="87"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86">
        <w:r>
          <w:rPr>
            <w:rStyle w:val="Hyperlink"/>
          </w:rPr>
          <w:t xml:space="preserve">https://doi.org/10.1016/j.seares.2014.02.014</w:t>
        </w:r>
      </w:hyperlink>
    </w:p>
    <w:bookmarkEnd w:id="87"/>
    <w:bookmarkStart w:id="88"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88"/>
    <w:bookmarkStart w:id="89"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89"/>
    <w:bookmarkStart w:id="91" w:name="ref-Castaing1995"/>
    <w:p>
      <w:pPr>
        <w:pStyle w:val="Bibliography"/>
      </w:pPr>
      <w:r>
        <w:t xml:space="preserve">Castaing, P., Guilcher, A., 1995. Morphosedimentary evolution of ria-type estuaries. Earth Surface Processes and Landforms 20, 361–376.</w:t>
      </w:r>
      <w:r>
        <w:t xml:space="preserve"> </w:t>
      </w:r>
      <w:hyperlink r:id="rId90">
        <w:r>
          <w:rPr>
            <w:rStyle w:val="Hyperlink"/>
          </w:rPr>
          <w:t xml:space="preserve">https://doi.org/10.1002/esp.3290200408</w:t>
        </w:r>
      </w:hyperlink>
    </w:p>
    <w:bookmarkEnd w:id="91"/>
    <w:bookmarkStart w:id="92"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92"/>
    <w:bookmarkStart w:id="93"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93"/>
    <w:bookmarkStart w:id="95" w:name="ref-shinypck"/>
    <w:p>
      <w:pPr>
        <w:pStyle w:val="Bibliography"/>
      </w:pPr>
      <w:r>
        <w:t xml:space="preserve">Chang, W., Cheng, J., Allaire, J., Sievert, C., Schloerke, B., Xie, Y., Allen, J., McPherson, J., Dipert, A., Borges, B., 2024.</w:t>
      </w:r>
      <w:r>
        <w:t xml:space="preserve"> </w:t>
      </w:r>
      <w:hyperlink r:id="rId94">
        <w:r>
          <w:rPr>
            <w:rStyle w:val="Hyperlink"/>
          </w:rPr>
          <w:t xml:space="preserve">Shiny: Web application framework for r</w:t>
        </w:r>
      </w:hyperlink>
      <w:r>
        <w:t xml:space="preserve">.</w:t>
      </w:r>
    </w:p>
    <w:bookmarkEnd w:id="95"/>
    <w:bookmarkStart w:id="96" w:name="ref-cheng2017remote"/>
    <w:p>
      <w:pPr>
        <w:pStyle w:val="Bibliography"/>
      </w:pPr>
      <w:r>
        <w:t xml:space="preserve">Cheng, G., Han, J., Lu, X., 2017. Remote sensing image scene classification: Benchmark and state of the art. Proceedings of the IEEE 105, 1865–1883.</w:t>
      </w:r>
    </w:p>
    <w:bookmarkEnd w:id="96"/>
    <w:bookmarkStart w:id="97"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97"/>
    <w:bookmarkStart w:id="98"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98"/>
    <w:bookmarkStart w:id="99"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99"/>
    <w:bookmarkStart w:id="100"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00"/>
    <w:bookmarkStart w:id="102"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01">
        <w:r>
          <w:rPr>
            <w:rStyle w:val="Hyperlink"/>
          </w:rPr>
          <w:t xml:space="preserve">https://doi.org/10.3390/rs14133124</w:t>
        </w:r>
      </w:hyperlink>
    </w:p>
    <w:bookmarkEnd w:id="102"/>
    <w:bookmarkStart w:id="104" w:name="ref-rs14020346"/>
    <w:p>
      <w:pPr>
        <w:pStyle w:val="Bibliography"/>
      </w:pPr>
      <w:r>
        <w:t xml:space="preserve">Douay, F., Verpoorter, C., Duong, G., Spilmont, N., Gevaert, F., 2022. New hyperspectral procedure to discriminate intertidal macroalgae. Remote Sensing 14.</w:t>
      </w:r>
      <w:r>
        <w:t xml:space="preserve"> </w:t>
      </w:r>
      <w:hyperlink r:id="rId103">
        <w:r>
          <w:rPr>
            <w:rStyle w:val="Hyperlink"/>
          </w:rPr>
          <w:t xml:space="preserve">https://doi.org/10.3390/rs14020346</w:t>
        </w:r>
      </w:hyperlink>
    </w:p>
    <w:bookmarkEnd w:id="104"/>
    <w:bookmarkStart w:id="105"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05"/>
    <w:bookmarkStart w:id="106"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06"/>
    <w:bookmarkStart w:id="107" w:name="ref-firth2024invasive"/>
    <w:p>
      <w:pPr>
        <w:pStyle w:val="Bibliography"/>
      </w:pPr>
      <w:r>
        <w:t xml:space="preserve">Firth, L.B., Foggo, A., Watts, T., Knights, A.M., DeAmicis, S., 2024. Invasive macroalgae in native seagrass beds: Vectors of spread and impacts. Annals of Botany 133, 41–50.</w:t>
      </w:r>
    </w:p>
    <w:bookmarkEnd w:id="107"/>
    <w:bookmarkStart w:id="108" w:name="ref-fourcade2014mapping"/>
    <w:p>
      <w:pPr>
        <w:pStyle w:val="Bibliography"/>
      </w:pPr>
      <w:r>
        <w:t xml:space="preserve">Fourcade, Y., Engler, J.O., Rödder, D., Secondi, J., 2014. Mapping species distributions with MAXENT using a geographically biased sample of presence data: A performance assessment of methods for correcting sampling bias. PloS one 9, e97122.</w:t>
      </w:r>
    </w:p>
    <w:bookmarkEnd w:id="108"/>
    <w:bookmarkStart w:id="109"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09"/>
    <w:bookmarkStart w:id="110" w:name="ref-godoy2009different"/>
    <w:p>
      <w:pPr>
        <w:pStyle w:val="Bibliography"/>
      </w:pPr>
      <w:r>
        <w:t xml:space="preserve">Godoy, O., Castro-Dı́ez, P., Valladares, F., Costa-Tenorio, M., 2009. Different flowering phenology of alien invasive species in spain: Evidence for the use of an empty temporal niche? Plant Biology 11, 803–811.</w:t>
      </w:r>
    </w:p>
    <w:bookmarkEnd w:id="110"/>
    <w:bookmarkStart w:id="111" w:name="ref-grizel1991introduction"/>
    <w:p>
      <w:pPr>
        <w:pStyle w:val="Bibliography"/>
      </w:pPr>
      <w:r>
        <w:t xml:space="preserve">Grizel, H., Heral, M., 1991. Introduction into france of the japanese oyster (crassostrea gigas). ICES Journal of Marine Science 47, 399–403.</w:t>
      </w:r>
    </w:p>
    <w:bookmarkEnd w:id="111"/>
    <w:bookmarkStart w:id="112"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12"/>
    <w:bookmarkStart w:id="114" w:name="ref-terrapck"/>
    <w:p>
      <w:pPr>
        <w:pStyle w:val="Bibliography"/>
      </w:pPr>
      <w:r>
        <w:t xml:space="preserve">Hijmans, R.J., 2024.</w:t>
      </w:r>
      <w:r>
        <w:t xml:space="preserve"> </w:t>
      </w:r>
      <w:hyperlink r:id="rId113">
        <w:r>
          <w:rPr>
            <w:rStyle w:val="Hyperlink"/>
          </w:rPr>
          <w:t xml:space="preserve">Terra: Spatial data analysis</w:t>
        </w:r>
      </w:hyperlink>
      <w:r>
        <w:t xml:space="preserve">.</w:t>
      </w:r>
    </w:p>
    <w:bookmarkEnd w:id="114"/>
    <w:bookmarkStart w:id="115" w:name="ref-RemonterLeTempsIGN"/>
    <w:p>
      <w:pPr>
        <w:pStyle w:val="Bibliography"/>
      </w:pPr>
      <w:r>
        <w:t xml:space="preserve">IGN, 2024. Remonter le temps.</w:t>
      </w:r>
    </w:p>
    <w:bookmarkEnd w:id="115"/>
    <w:bookmarkStart w:id="116" w:name="ref-kazakeviciute2020assessment"/>
    <w:p>
      <w:pPr>
        <w:pStyle w:val="Bibliography"/>
      </w:pPr>
      <w:r>
        <w:t xml:space="preserve">Kazakeviciute-Januskeviciene, G., Janusonis, E., Bausys, R., Limba, T., Kiskis, M., 2020. Assessment of the segmentation of RGB remote sensing images: A subjective approach. Remote Sensing 12, 4152.</w:t>
      </w:r>
    </w:p>
    <w:bookmarkEnd w:id="116"/>
    <w:bookmarkStart w:id="117"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17"/>
    <w:bookmarkStart w:id="11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18">
        <w:r>
          <w:rPr>
            <w:rStyle w:val="Hyperlink"/>
          </w:rPr>
          <w:t xml:space="preserve">https://doi.org/10.3390/d15020161</w:t>
        </w:r>
      </w:hyperlink>
    </w:p>
    <w:bookmarkEnd w:id="119"/>
    <w:bookmarkStart w:id="121"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20">
        <w:r>
          <w:rPr>
            <w:rStyle w:val="Hyperlink"/>
          </w:rPr>
          <w:t xml:space="preserve">https://doi.org/10.3390/rs11060704</w:t>
        </w:r>
      </w:hyperlink>
    </w:p>
    <w:bookmarkEnd w:id="121"/>
    <w:bookmarkStart w:id="123"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22">
        <w:r>
          <w:rPr>
            <w:rStyle w:val="Hyperlink"/>
          </w:rPr>
          <w:t xml:space="preserve">https://doi.org/10.3390/jmse11020367</w:t>
        </w:r>
      </w:hyperlink>
    </w:p>
    <w:bookmarkEnd w:id="123"/>
    <w:bookmarkStart w:id="125"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24">
        <w:r>
          <w:rPr>
            <w:rStyle w:val="Hyperlink"/>
          </w:rPr>
          <w:t xml:space="preserve">https://doi.org/10.1080/17445647.2021.1925170</w:t>
        </w:r>
      </w:hyperlink>
    </w:p>
    <w:bookmarkEnd w:id="125"/>
    <w:bookmarkStart w:id="12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26"/>
    <w:bookmarkStart w:id="128" w:name="ref-rs15143674"/>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w:t>
      </w:r>
      <w:r>
        <w:t xml:space="preserve"> </w:t>
      </w:r>
      <w:hyperlink r:id="rId127">
        <w:r>
          <w:rPr>
            <w:rStyle w:val="Hyperlink"/>
          </w:rPr>
          <w:t xml:space="preserve">https://doi.org/10.3390/rs15143674</w:t>
        </w:r>
      </w:hyperlink>
    </w:p>
    <w:bookmarkEnd w:id="128"/>
    <w:bookmarkStart w:id="129" w:name="ref-nyberg2007introduced"/>
    <w:p>
      <w:pPr>
        <w:pStyle w:val="Bibliography"/>
      </w:pPr>
      <w:r>
        <w:t xml:space="preserve">Nyberg, C.D., 2007. Introduced marine macroalgae and habitat modifiers: Their ecological role and significant attributes. Department of Marine Ecology.</w:t>
      </w:r>
    </w:p>
    <w:bookmarkEnd w:id="129"/>
    <w:bookmarkStart w:id="130" w:name="ref-nyberg2009flora"/>
    <w:p>
      <w:pPr>
        <w:pStyle w:val="Bibliography"/>
      </w:pPr>
      <w:r>
        <w:t xml:space="preserve">Nyberg, C.D., Thomsen, M.S., Wallentinus, I., 2009. Flora and fauna associated with the introduced red alga gracilaria vermiculophylla. European Journal of Phycology 44, 395–403.</w:t>
      </w:r>
    </w:p>
    <w:bookmarkEnd w:id="130"/>
    <w:bookmarkStart w:id="131"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31"/>
    <w:bookmarkStart w:id="133" w:name="ref-oiry_2024_14218984"/>
    <w:p>
      <w:pPr>
        <w:pStyle w:val="Bibliography"/>
      </w:pPr>
      <w:r>
        <w:t xml:space="preserve">Oiry, S., Davies, B.F.R., Pierre, G., Laurent, B., 2024a.</w:t>
      </w:r>
      <w:r>
        <w:t xml:space="preserve"> </w:t>
      </w:r>
      <w:r>
        <w:t xml:space="preserve">DISCOV: Drone Intertidal Sediment Classification Of Vegetation</w:t>
      </w:r>
      <w:r>
        <w:t xml:space="preserve">.</w:t>
      </w:r>
      <w:r>
        <w:t xml:space="preserve"> </w:t>
      </w:r>
      <w:hyperlink r:id="rId132">
        <w:r>
          <w:rPr>
            <w:rStyle w:val="Hyperlink"/>
          </w:rPr>
          <w:t xml:space="preserve">https://doi.org/10.5281/zenodo.14218984</w:t>
        </w:r>
      </w:hyperlink>
    </w:p>
    <w:bookmarkEnd w:id="133"/>
    <w:bookmarkStart w:id="135"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134">
        <w:r>
          <w:rPr>
            <w:rStyle w:val="Hyperlink"/>
          </w:rPr>
          <w:t xml:space="preserve">https://doi.org/10.3390/rs16234383</w:t>
        </w:r>
      </w:hyperlink>
    </w:p>
    <w:bookmarkEnd w:id="135"/>
    <w:bookmarkStart w:id="13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36"/>
    <w:bookmarkStart w:id="13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37"/>
    <w:bookmarkStart w:id="139" w:name="ref-WoRMS303450"/>
    <w:p>
      <w:pPr>
        <w:pStyle w:val="Bibliography"/>
      </w:pPr>
      <w:r>
        <w:t xml:space="preserve">Papenfuss, G.F., 1967.</w:t>
      </w:r>
      <w:r>
        <w:t xml:space="preserve"> </w:t>
      </w:r>
      <w:hyperlink r:id="rId138">
        <w:r>
          <w:rPr>
            <w:rStyle w:val="Hyperlink"/>
          </w:rPr>
          <w:t xml:space="preserve">Notes on algal nomenclature - v. Various chlorophyceae and rhodophyceae</w:t>
        </w:r>
      </w:hyperlink>
      <w:r>
        <w:t xml:space="preserve">. Phykos 5, 95–105.</w:t>
      </w:r>
    </w:p>
    <w:bookmarkEnd w:id="139"/>
    <w:bookmarkStart w:id="140"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40"/>
    <w:bookmarkStart w:id="14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41"/>
    <w:bookmarkStart w:id="142"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42"/>
    <w:bookmarkStart w:id="14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43"/>
    <w:bookmarkStart w:id="144" w:name="ref-roman2021using"/>
    <w:p>
      <w:pPr>
        <w:pStyle w:val="Bibliography"/>
      </w:pPr>
      <w:r>
        <w:t xml:space="preserve">Román, A., Tovar-Sánchez, A., Olivé, I., Navarro, G., 2021. Using a UAV-mounted multispectral camera for the monitoring of marine macrophytes. Frontiers in Marine Science 8, 722698.</w:t>
      </w:r>
    </w:p>
    <w:bookmarkEnd w:id="144"/>
    <w:bookmarkStart w:id="145" w:name="ref-romero2008sintering"/>
    <w:p>
      <w:pPr>
        <w:pStyle w:val="Bibliography"/>
      </w:pPr>
      <w:r>
        <w:t xml:space="preserve">Romero, M., Andrés, A., Alonso, R., Viguri, J., Rincón, J.M., 2008. Sintering behaviour of ceramic bodies from contaminated marine sediments. Ceramics International 34, 1917–1924.</w:t>
      </w:r>
    </w:p>
    <w:bookmarkEnd w:id="145"/>
    <w:bookmarkStart w:id="146" w:name="ref-rueness2005life"/>
    <w:p>
      <w:pPr>
        <w:pStyle w:val="Bibliography"/>
      </w:pPr>
      <w:r>
        <w:t xml:space="preserve">Rueness, J., 2005. Life history and molecular sequences of gracilaria vermiculophylla (gracilariales, rhodophyta), a new introduction to european waters. Phycologia 44, 120–128.</w:t>
      </w:r>
    </w:p>
    <w:bookmarkEnd w:id="146"/>
    <w:bookmarkStart w:id="147" w:name="ref-savitzky1964smoothing"/>
    <w:p>
      <w:pPr>
        <w:pStyle w:val="Bibliography"/>
      </w:pPr>
      <w:r>
        <w:t xml:space="preserve">Savitzky, A., Golay, M.J., 1964. Smoothing and differentiation of data by simplified least squares procedures. Analytical chemistry 36, 1627–1639.</w:t>
      </w:r>
    </w:p>
    <w:bookmarkEnd w:id="147"/>
    <w:bookmarkStart w:id="148"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48"/>
    <w:bookmarkStart w:id="150" w:name="ref-Simon2024ShinyApp"/>
    <w:p>
      <w:pPr>
        <w:pStyle w:val="Bibliography"/>
      </w:pPr>
      <w:r>
        <w:t xml:space="preserve">Simon, O., 2024.</w:t>
      </w:r>
      <w:r>
        <w:t xml:space="preserve"> </w:t>
      </w:r>
      <w:hyperlink r:id="rId149">
        <w:r>
          <w:rPr>
            <w:rStyle w:val="Hyperlink"/>
          </w:rPr>
          <w:t xml:space="preserve">Shiny app for validation dataset building</w:t>
        </w:r>
      </w:hyperlink>
      <w:r>
        <w:t xml:space="preserve">.</w:t>
      </w:r>
    </w:p>
    <w:bookmarkEnd w:id="150"/>
    <w:bookmarkStart w:id="15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51"/>
    <w:bookmarkStart w:id="15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52"/>
    <w:bookmarkStart w:id="154"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53">
        <w:r>
          <w:rPr>
            <w:rStyle w:val="Hyperlink"/>
          </w:rPr>
          <w:t xml:space="preserve">https://doi.org/10.1007/s11356-011-0479-3</w:t>
        </w:r>
      </w:hyperlink>
    </w:p>
    <w:bookmarkEnd w:id="154"/>
    <w:bookmarkStart w:id="155"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55"/>
    <w:bookmarkStart w:id="156"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56"/>
    <w:bookmarkStart w:id="157"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57"/>
    <w:bookmarkStart w:id="158"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58"/>
    <w:bookmarkStart w:id="159"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59"/>
    <w:bookmarkStart w:id="160" w:name="ref-vilizzi2021global"/>
    <w:p>
      <w:pPr>
        <w:pStyle w:val="Bibliography"/>
      </w:pPr>
      <w:r>
        <w:t xml:space="preserve">Vilizzi, L., Copp, G.H., Hill, J.E., Adamovich, B., Aislabie, L., Akin, D., Al-Faisal, A.J., Almeida, D., Azmai, M.A., Bakiu, R., others, 2021. A global-scale screening of non-native aquatic organisms to identify potentially invasive species under current and future climate conditions. Science of the Total Environment 788, 147868.</w:t>
      </w:r>
    </w:p>
    <w:bookmarkEnd w:id="160"/>
    <w:bookmarkStart w:id="161"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61"/>
    <w:bookmarkStart w:id="162" w:name="ref-williams2007global"/>
    <w:p>
      <w:pPr>
        <w:pStyle w:val="Bibliography"/>
      </w:pPr>
      <w:r>
        <w:t xml:space="preserve">Williams, S.L., Smith, J.E., 2007. A global review of the distribution, taxonomy, and impacts of introduced seaweeds. Annu. Rev. Ecol. Evol. Syst. 38, 327–359.</w:t>
      </w:r>
    </w:p>
    <w:bookmarkEnd w:id="162"/>
    <w:bookmarkStart w:id="164"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63">
        <w:r>
          <w:rPr>
            <w:rStyle w:val="Hyperlink"/>
          </w:rPr>
          <w:t xml:space="preserve">https://doi.org/10.3390/d14121077</w:t>
        </w:r>
      </w:hyperlink>
    </w:p>
    <w:bookmarkEnd w:id="164"/>
    <w:bookmarkStart w:id="165"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65"/>
    <w:bookmarkStart w:id="166"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66"/>
    <w:bookmarkEnd w:id="167"/>
    <w:bookmarkEnd w:id="16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23" Target="media/rId23.png" /><Relationship Type="http://schemas.openxmlformats.org/officeDocument/2006/relationships/hyperlink" Id="rId94" Target="https://CRAN.R-project.org/package=shiny" TargetMode="External" /><Relationship Type="http://schemas.openxmlformats.org/officeDocument/2006/relationships/hyperlink" Id="rId113" Target="https://CRAN.R-project.org/package=terra" TargetMode="External" /><Relationship Type="http://schemas.openxmlformats.org/officeDocument/2006/relationships/hyperlink" Id="rId90" Target="https://doi.org/10.1002/esp.3290200408" TargetMode="External" /><Relationship Type="http://schemas.openxmlformats.org/officeDocument/2006/relationships/hyperlink" Id="rId153" Target="https://doi.org/10.1007/s11356-011-0479-3" TargetMode="External" /><Relationship Type="http://schemas.openxmlformats.org/officeDocument/2006/relationships/hyperlink" Id="rId86" Target="https://doi.org/10.1016/j.seares.2014.02.014" TargetMode="External" /><Relationship Type="http://schemas.openxmlformats.org/officeDocument/2006/relationships/hyperlink" Id="rId124" Target="https://doi.org/10.1080/17445647.2021.1925170" TargetMode="External" /><Relationship Type="http://schemas.openxmlformats.org/officeDocument/2006/relationships/hyperlink" Id="rId163" Target="https://doi.org/10.3390/d14121077" TargetMode="External" /><Relationship Type="http://schemas.openxmlformats.org/officeDocument/2006/relationships/hyperlink" Id="rId118" Target="https://doi.org/10.3390/d15020161" TargetMode="External" /><Relationship Type="http://schemas.openxmlformats.org/officeDocument/2006/relationships/hyperlink" Id="rId122" Target="https://doi.org/10.3390/jmse11020367" TargetMode="External" /><Relationship Type="http://schemas.openxmlformats.org/officeDocument/2006/relationships/hyperlink" Id="rId120" Target="https://doi.org/10.3390/rs11060704" TargetMode="External" /><Relationship Type="http://schemas.openxmlformats.org/officeDocument/2006/relationships/hyperlink" Id="rId103" Target="https://doi.org/10.3390/rs14020346" TargetMode="External" /><Relationship Type="http://schemas.openxmlformats.org/officeDocument/2006/relationships/hyperlink" Id="rId101" Target="https://doi.org/10.3390/rs14133124" TargetMode="External" /><Relationship Type="http://schemas.openxmlformats.org/officeDocument/2006/relationships/hyperlink" Id="rId127" Target="https://doi.org/10.3390/rs15143674" TargetMode="External" /><Relationship Type="http://schemas.openxmlformats.org/officeDocument/2006/relationships/hyperlink" Id="rId134" Target="https://doi.org/10.3390/rs16234383" TargetMode="External" /><Relationship Type="http://schemas.openxmlformats.org/officeDocument/2006/relationships/hyperlink" Id="rId132" Target="https://doi.org/10.5281/zenodo.14218984" TargetMode="External" /><Relationship Type="http://schemas.openxmlformats.org/officeDocument/2006/relationships/hyperlink" Id="rId138" Target="https://marinespecies.org/aphia.php?p=sourcedetails&amp;id=303450" TargetMode="External" /><Relationship Type="http://schemas.openxmlformats.org/officeDocument/2006/relationships/hyperlink" Id="rId149" Target="https://oirysimon.shinyapps.io/shiny_validate/" TargetMode="External" /><Relationship Type="http://schemas.openxmlformats.org/officeDocument/2006/relationships/hyperlink" Id="rId82"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94" Target="https://CRAN.R-project.org/package=shiny" TargetMode="External" /><Relationship Type="http://schemas.openxmlformats.org/officeDocument/2006/relationships/hyperlink" Id="rId113" Target="https://CRAN.R-project.org/package=terra" TargetMode="External" /><Relationship Type="http://schemas.openxmlformats.org/officeDocument/2006/relationships/hyperlink" Id="rId90" Target="https://doi.org/10.1002/esp.3290200408" TargetMode="External" /><Relationship Type="http://schemas.openxmlformats.org/officeDocument/2006/relationships/hyperlink" Id="rId153" Target="https://doi.org/10.1007/s11356-011-0479-3" TargetMode="External" /><Relationship Type="http://schemas.openxmlformats.org/officeDocument/2006/relationships/hyperlink" Id="rId86" Target="https://doi.org/10.1016/j.seares.2014.02.014" TargetMode="External" /><Relationship Type="http://schemas.openxmlformats.org/officeDocument/2006/relationships/hyperlink" Id="rId124" Target="https://doi.org/10.1080/17445647.2021.1925170" TargetMode="External" /><Relationship Type="http://schemas.openxmlformats.org/officeDocument/2006/relationships/hyperlink" Id="rId163" Target="https://doi.org/10.3390/d14121077" TargetMode="External" /><Relationship Type="http://schemas.openxmlformats.org/officeDocument/2006/relationships/hyperlink" Id="rId118" Target="https://doi.org/10.3390/d15020161" TargetMode="External" /><Relationship Type="http://schemas.openxmlformats.org/officeDocument/2006/relationships/hyperlink" Id="rId122" Target="https://doi.org/10.3390/jmse11020367" TargetMode="External" /><Relationship Type="http://schemas.openxmlformats.org/officeDocument/2006/relationships/hyperlink" Id="rId120" Target="https://doi.org/10.3390/rs11060704" TargetMode="External" /><Relationship Type="http://schemas.openxmlformats.org/officeDocument/2006/relationships/hyperlink" Id="rId103" Target="https://doi.org/10.3390/rs14020346" TargetMode="External" /><Relationship Type="http://schemas.openxmlformats.org/officeDocument/2006/relationships/hyperlink" Id="rId101" Target="https://doi.org/10.3390/rs14133124" TargetMode="External" /><Relationship Type="http://schemas.openxmlformats.org/officeDocument/2006/relationships/hyperlink" Id="rId127" Target="https://doi.org/10.3390/rs15143674" TargetMode="External" /><Relationship Type="http://schemas.openxmlformats.org/officeDocument/2006/relationships/hyperlink" Id="rId134" Target="https://doi.org/10.3390/rs16234383" TargetMode="External" /><Relationship Type="http://schemas.openxmlformats.org/officeDocument/2006/relationships/hyperlink" Id="rId132" Target="https://doi.org/10.5281/zenodo.14218984" TargetMode="External" /><Relationship Type="http://schemas.openxmlformats.org/officeDocument/2006/relationships/hyperlink" Id="rId138" Target="https://marinespecies.org/aphia.php?p=sourcedetails&amp;id=303450" TargetMode="External" /><Relationship Type="http://schemas.openxmlformats.org/officeDocument/2006/relationships/hyperlink" Id="rId149" Target="https://oirysimon.shinyapps.io/shiny_validate/" TargetMode="External" /><Relationship Type="http://schemas.openxmlformats.org/officeDocument/2006/relationships/hyperlink" Id="rId82"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distribution of the invasive Gracilaria vermiculophylla through remote sensing at its first described European site</dc:title>
  <dc:creator>Simon Oiry¹; Bede Ffinian Rowe Davies¹; Pierre Gernez¹; Laurent Barillé¹</dc:creator>
  <cp:keywords>Remote Sensing, Invasive species, Coastal Ecosystems, Biodiversity</cp:keywords>
  <dcterms:created xsi:type="dcterms:W3CDTF">2024-12-17T13:25:09Z</dcterms:created>
  <dcterms:modified xsi:type="dcterms:W3CDTF">2024-12-17T13:25:09Z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ies>
</file>